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BAC3" w14:textId="7C471BAC" w:rsidR="00396F5B" w:rsidRPr="00BC5E3B" w:rsidRDefault="00D27D17" w:rsidP="00BC5E3B">
      <w:pPr>
        <w:pStyle w:val="KeinLeerraum"/>
        <w:spacing w:line="276" w:lineRule="auto"/>
        <w:jc w:val="both"/>
        <w:rPr>
          <w:rFonts w:ascii="Cambria" w:hAnsi="Cambria"/>
          <w:sz w:val="24"/>
          <w:szCs w:val="24"/>
          <w:lang w:val="bs-Latn-BA"/>
        </w:rPr>
      </w:pPr>
      <w:r w:rsidRPr="00057870">
        <w:rPr>
          <w:rFonts w:ascii="Cambria" w:hAnsi="Cambria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7728" behindDoc="0" locked="0" layoutInCell="1" allowOverlap="1" wp14:anchorId="0BA756A6" wp14:editId="11F07218">
            <wp:simplePos x="0" y="0"/>
            <wp:positionH relativeFrom="margin">
              <wp:posOffset>0</wp:posOffset>
            </wp:positionH>
            <wp:positionV relativeFrom="paragraph">
              <wp:posOffset>-228600</wp:posOffset>
            </wp:positionV>
            <wp:extent cx="1704340" cy="3543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35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1B802" w14:textId="69E89D04" w:rsidR="00396F5B" w:rsidRDefault="00396F5B" w:rsidP="002D354B">
      <w:pPr>
        <w:pStyle w:val="KeinLeerraum"/>
        <w:spacing w:line="276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1BDC8942" w14:textId="77777777" w:rsidR="00871088" w:rsidRPr="002D715A" w:rsidRDefault="00871088" w:rsidP="002D354B">
      <w:pPr>
        <w:pStyle w:val="KeinLeerraum"/>
        <w:spacing w:line="276" w:lineRule="auto"/>
        <w:rPr>
          <w:rFonts w:ascii="Times New Roman" w:hAnsi="Times New Roman"/>
          <w:b/>
          <w:sz w:val="24"/>
          <w:szCs w:val="24"/>
          <w:lang w:val="bs-Latn-BA"/>
        </w:rPr>
      </w:pPr>
    </w:p>
    <w:p w14:paraId="008D1799" w14:textId="70FA8C80" w:rsidR="00396F5B" w:rsidRPr="002D715A" w:rsidRDefault="00396F5B" w:rsidP="002D354B">
      <w:pPr>
        <w:spacing w:line="276" w:lineRule="auto"/>
        <w:jc w:val="center"/>
        <w:rPr>
          <w:rFonts w:eastAsia="Calibri"/>
          <w:b/>
          <w:szCs w:val="22"/>
          <w:lang w:val="bs-Latn-BA"/>
        </w:rPr>
      </w:pPr>
      <w:r>
        <w:rPr>
          <w:rFonts w:eastAsia="Calibri"/>
          <w:b/>
          <w:szCs w:val="22"/>
          <w:lang w:val="bs-Latn-BA"/>
        </w:rPr>
        <w:t>UPUTE ZA PISANJE RADOVA</w:t>
      </w:r>
    </w:p>
    <w:p w14:paraId="391C8CA2" w14:textId="4343DF30" w:rsidR="00BC2B30" w:rsidRPr="00BC2B30" w:rsidRDefault="00396F5B" w:rsidP="00BC5E3B">
      <w:pPr>
        <w:spacing w:line="276" w:lineRule="auto"/>
        <w:jc w:val="center"/>
        <w:rPr>
          <w:rFonts w:eastAsia="Calibri"/>
          <w:b/>
          <w:szCs w:val="22"/>
          <w:lang w:val="bs-Latn-BA"/>
        </w:rPr>
      </w:pPr>
      <w:r w:rsidRPr="002D715A">
        <w:rPr>
          <w:rFonts w:eastAsia="Calibri"/>
          <w:b/>
          <w:szCs w:val="22"/>
          <w:lang w:val="bs-Latn-BA"/>
        </w:rPr>
        <w:t xml:space="preserve">/Zbornik radova Udruženja tužilaca/tužitelja Federacije Bosne i Hercegovine </w:t>
      </w:r>
      <w:r w:rsidR="00BC5E3B">
        <w:rPr>
          <w:rFonts w:eastAsia="Calibri"/>
          <w:b/>
          <w:szCs w:val="22"/>
          <w:lang w:val="bs-Latn-BA"/>
        </w:rPr>
        <w:t>– Broj II</w:t>
      </w:r>
      <w:r w:rsidR="00317FB4">
        <w:rPr>
          <w:rFonts w:eastAsia="Calibri"/>
          <w:b/>
          <w:szCs w:val="22"/>
          <w:lang w:val="bs-Latn-BA"/>
        </w:rPr>
        <w:t>I</w:t>
      </w:r>
      <w:r w:rsidR="00BC5E3B">
        <w:rPr>
          <w:rFonts w:eastAsia="Calibri"/>
          <w:b/>
          <w:szCs w:val="22"/>
          <w:lang w:val="bs-Latn-BA"/>
        </w:rPr>
        <w:t>/</w:t>
      </w:r>
    </w:p>
    <w:p w14:paraId="555E4FAF" w14:textId="66CAE516" w:rsidR="00BC2B30" w:rsidRPr="00396F5B" w:rsidRDefault="00BC2B30" w:rsidP="002D354B">
      <w:pPr>
        <w:spacing w:line="276" w:lineRule="auto"/>
        <w:jc w:val="both"/>
        <w:rPr>
          <w:rFonts w:eastAsia="Calibri"/>
          <w:color w:val="FF0000"/>
          <w:szCs w:val="22"/>
          <w:lang w:val="bs-Latn-B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6F5B" w:rsidRPr="00396F5B" w14:paraId="28225F5C" w14:textId="77777777" w:rsidTr="00CC66E8">
        <w:tc>
          <w:tcPr>
            <w:tcW w:w="9061" w:type="dxa"/>
            <w:shd w:val="clear" w:color="auto" w:fill="00B0F0"/>
          </w:tcPr>
          <w:p w14:paraId="4F3B11B0" w14:textId="1CF6BAB8" w:rsidR="00396F5B" w:rsidRPr="00CC66E8" w:rsidRDefault="00CC66E8" w:rsidP="002D354B">
            <w:pPr>
              <w:tabs>
                <w:tab w:val="center" w:pos="4422"/>
                <w:tab w:val="left" w:pos="5925"/>
              </w:tabs>
              <w:spacing w:line="276" w:lineRule="auto"/>
              <w:jc w:val="center"/>
              <w:rPr>
                <w:rFonts w:eastAsia="Calibri"/>
                <w:b/>
                <w:color w:val="000000" w:themeColor="text1"/>
                <w:szCs w:val="22"/>
                <w:lang w:val="bs-Latn-BA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val="bs-Latn-BA"/>
              </w:rPr>
              <w:t>Oblasti</w:t>
            </w:r>
          </w:p>
        </w:tc>
      </w:tr>
      <w:tr w:rsidR="00396F5B" w:rsidRPr="007E3A41" w14:paraId="2AF636F2" w14:textId="77777777" w:rsidTr="00396F5B">
        <w:tc>
          <w:tcPr>
            <w:tcW w:w="9061" w:type="dxa"/>
          </w:tcPr>
          <w:p w14:paraId="0A3D1097" w14:textId="77777777" w:rsidR="008813EE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Borba protiv korupcije i organizovanog kriminala visokog nivoa;</w:t>
            </w:r>
          </w:p>
          <w:p w14:paraId="63B235B6" w14:textId="77777777" w:rsidR="008813EE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Procesuiranje predmeta ratnih zločina;</w:t>
            </w:r>
          </w:p>
          <w:p w14:paraId="46C3848C" w14:textId="77777777" w:rsidR="008813EE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Borba protiv trgovine ljudima;</w:t>
            </w:r>
          </w:p>
          <w:p w14:paraId="55C0CB3F" w14:textId="77777777" w:rsidR="008813EE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Oduzimanje imovinske koristi pribavljenje krivičnim djelom;</w:t>
            </w:r>
          </w:p>
          <w:p w14:paraId="6042084D" w14:textId="77777777" w:rsidR="008813EE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Rodno zasnovano nasilje i nasilje nad djecom;</w:t>
            </w:r>
          </w:p>
          <w:p w14:paraId="49B11EC5" w14:textId="33D33040" w:rsidR="00396F5B" w:rsidRPr="008813EE" w:rsidRDefault="008813EE" w:rsidP="008813EE">
            <w:pPr>
              <w:pStyle w:val="Listenabsatz"/>
              <w:numPr>
                <w:ilvl w:val="0"/>
                <w:numId w:val="7"/>
              </w:numPr>
              <w:spacing w:line="276" w:lineRule="auto"/>
              <w:jc w:val="both"/>
              <w:rPr>
                <w:rFonts w:eastAsia="Calibri"/>
              </w:rPr>
            </w:pPr>
            <w:r w:rsidRPr="008813E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Aktuelna pitanja iz pravne prakse – perspektive i izazovi.</w:t>
            </w:r>
          </w:p>
        </w:tc>
      </w:tr>
      <w:tr w:rsidR="00396F5B" w14:paraId="0FF0FEA3" w14:textId="77777777" w:rsidTr="00CC66E8">
        <w:tc>
          <w:tcPr>
            <w:tcW w:w="9061" w:type="dxa"/>
            <w:shd w:val="clear" w:color="auto" w:fill="00B0F0"/>
          </w:tcPr>
          <w:p w14:paraId="42A6B16A" w14:textId="687BCAD6" w:rsidR="00396F5B" w:rsidRPr="00CC66E8" w:rsidRDefault="00CC66E8" w:rsidP="002D354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bs-Latn-BA"/>
              </w:rPr>
            </w:pPr>
            <w:r>
              <w:rPr>
                <w:rFonts w:eastAsia="Calibri"/>
                <w:b/>
                <w:szCs w:val="22"/>
                <w:lang w:val="bs-Latn-BA"/>
              </w:rPr>
              <w:t>Tehnički podaci</w:t>
            </w:r>
          </w:p>
        </w:tc>
      </w:tr>
      <w:tr w:rsidR="00396F5B" w14:paraId="6B0D7263" w14:textId="77777777" w:rsidTr="00396F5B">
        <w:tc>
          <w:tcPr>
            <w:tcW w:w="9061" w:type="dxa"/>
          </w:tcPr>
          <w:p w14:paraId="3A17C697" w14:textId="33DA5D60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>Jezik:</w:t>
            </w:r>
            <w:r>
              <w:rPr>
                <w:rFonts w:eastAsia="Calibri"/>
                <w:szCs w:val="22"/>
                <w:lang w:val="bs-Latn-BA"/>
              </w:rPr>
              <w:t xml:space="preserve"> bosanski/hrvatski/srpski;</w:t>
            </w:r>
          </w:p>
          <w:p w14:paraId="0F326BC7" w14:textId="5B3CEE1C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>Pismo:</w:t>
            </w:r>
            <w:r>
              <w:rPr>
                <w:rFonts w:eastAsia="Calibri"/>
                <w:szCs w:val="22"/>
                <w:lang w:val="bs-Latn-BA"/>
              </w:rPr>
              <w:t xml:space="preserve"> latinica/ćirilica;</w:t>
            </w:r>
          </w:p>
          <w:p w14:paraId="3979C49D" w14:textId="4B8797E4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>Dužina radova:</w:t>
            </w:r>
            <w:r>
              <w:rPr>
                <w:rFonts w:eastAsia="Calibri"/>
                <w:szCs w:val="22"/>
                <w:lang w:val="bs-Latn-BA"/>
              </w:rPr>
              <w:t xml:space="preserve"> 10 – 20 stranica (izuzetno, ostavljena je mogućnost i za dostavljanje radova koji odstupaju od navedenih parametara);</w:t>
            </w:r>
          </w:p>
          <w:p w14:paraId="1E5639AC" w14:textId="78EB57A3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>Struktura:</w:t>
            </w:r>
            <w:r>
              <w:rPr>
                <w:rFonts w:eastAsia="Calibri"/>
                <w:szCs w:val="22"/>
                <w:lang w:val="bs-Latn-BA"/>
              </w:rPr>
              <w:t xml:space="preserve"> sažetak, do deset ključnih riječi, uvod, centralni dio rada (sa naslovima i podnaslovima), zaključak i popis korištene literature;</w:t>
            </w:r>
          </w:p>
          <w:p w14:paraId="778E0233" w14:textId="234CB6F0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>Stil u tekstu i fusnotama:</w:t>
            </w:r>
            <w:r>
              <w:rPr>
                <w:rFonts w:eastAsia="Calibri"/>
                <w:szCs w:val="22"/>
                <w:lang w:val="bs-Latn-BA"/>
              </w:rPr>
              <w:t xml:space="preserve"> </w:t>
            </w:r>
            <w:r w:rsidRPr="00CC66E8">
              <w:rPr>
                <w:rFonts w:eastAsia="Calibri"/>
                <w:szCs w:val="22"/>
                <w:lang w:val="bs-Latn-BA"/>
              </w:rPr>
              <w:t>Times New Roman</w:t>
            </w:r>
            <w:r>
              <w:rPr>
                <w:rFonts w:eastAsia="Calibri"/>
                <w:szCs w:val="22"/>
                <w:lang w:val="bs-Latn-BA"/>
              </w:rPr>
              <w:t>;</w:t>
            </w:r>
          </w:p>
          <w:p w14:paraId="5112ED14" w14:textId="72413810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 xml:space="preserve">Veličina fonta: </w:t>
            </w:r>
            <w:r>
              <w:rPr>
                <w:rFonts w:eastAsia="Calibri"/>
                <w:szCs w:val="22"/>
                <w:lang w:val="bs-Latn-BA"/>
              </w:rPr>
              <w:t>12 za tekst, 10 za fusnote;</w:t>
            </w:r>
          </w:p>
          <w:p w14:paraId="3DD9F3CF" w14:textId="59DE0DA6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 xml:space="preserve">Poravnanje: </w:t>
            </w:r>
            <w:r w:rsidRPr="00CC66E8">
              <w:rPr>
                <w:rFonts w:eastAsia="Calibri"/>
                <w:szCs w:val="22"/>
                <w:lang w:val="bs-Latn-BA"/>
              </w:rPr>
              <w:t>centralno poravnanje – Justify</w:t>
            </w:r>
            <w:r>
              <w:rPr>
                <w:rFonts w:eastAsia="Calibri"/>
                <w:szCs w:val="22"/>
                <w:lang w:val="bs-Latn-BA"/>
              </w:rPr>
              <w:t>;</w:t>
            </w:r>
          </w:p>
          <w:p w14:paraId="2B655F80" w14:textId="14E48945" w:rsidR="00CC66E8" w:rsidRDefault="00CC66E8" w:rsidP="002D354B">
            <w:pPr>
              <w:spacing w:line="276" w:lineRule="auto"/>
              <w:jc w:val="both"/>
              <w:rPr>
                <w:rFonts w:eastAsia="Calibri"/>
                <w:szCs w:val="22"/>
                <w:lang w:val="bs-Latn-BA"/>
              </w:rPr>
            </w:pPr>
            <w:r w:rsidRPr="00CC66E8">
              <w:rPr>
                <w:rFonts w:eastAsia="Calibri"/>
                <w:b/>
                <w:szCs w:val="22"/>
                <w:lang w:val="bs-Latn-BA"/>
              </w:rPr>
              <w:t xml:space="preserve">Prored: </w:t>
            </w:r>
            <w:r>
              <w:rPr>
                <w:rFonts w:eastAsia="Calibri"/>
                <w:szCs w:val="22"/>
                <w:lang w:val="bs-Latn-BA"/>
              </w:rPr>
              <w:t>1,15</w:t>
            </w:r>
          </w:p>
        </w:tc>
      </w:tr>
      <w:tr w:rsidR="00396F5B" w14:paraId="1AA771AB" w14:textId="77777777" w:rsidTr="00281DD7">
        <w:tc>
          <w:tcPr>
            <w:tcW w:w="9061" w:type="dxa"/>
            <w:shd w:val="clear" w:color="auto" w:fill="00B0F0"/>
          </w:tcPr>
          <w:p w14:paraId="7DEA2557" w14:textId="0A3BD58C" w:rsidR="00396F5B" w:rsidRPr="00281DD7" w:rsidRDefault="00281DD7" w:rsidP="002D354B">
            <w:pPr>
              <w:tabs>
                <w:tab w:val="left" w:pos="3495"/>
              </w:tabs>
              <w:spacing w:line="276" w:lineRule="auto"/>
              <w:jc w:val="center"/>
              <w:rPr>
                <w:rFonts w:eastAsia="Calibri"/>
                <w:b/>
                <w:szCs w:val="22"/>
                <w:lang w:val="bs-Latn-BA"/>
              </w:rPr>
            </w:pPr>
            <w:r>
              <w:rPr>
                <w:rFonts w:eastAsia="Calibri"/>
                <w:b/>
                <w:szCs w:val="22"/>
                <w:lang w:val="bs-Latn-BA"/>
              </w:rPr>
              <w:t>Citiranje (prilikom navođenja izvora)</w:t>
            </w:r>
          </w:p>
        </w:tc>
      </w:tr>
      <w:tr w:rsidR="00396F5B" w14:paraId="06E4359D" w14:textId="77777777" w:rsidTr="00396F5B">
        <w:tc>
          <w:tcPr>
            <w:tcW w:w="9061" w:type="dxa"/>
          </w:tcPr>
          <w:p w14:paraId="31642B57" w14:textId="212EF52D" w:rsidR="008D177C" w:rsidRDefault="00281DD7" w:rsidP="002D354B">
            <w:pPr>
              <w:spacing w:line="276" w:lineRule="auto"/>
              <w:jc w:val="both"/>
              <w:rPr>
                <w:rFonts w:eastAsia="Calibri"/>
                <w:lang w:val="bs-Latn-BA"/>
              </w:rPr>
            </w:pPr>
            <w:r w:rsidRPr="00281DD7">
              <w:rPr>
                <w:rFonts w:eastAsia="Calibri"/>
                <w:b/>
                <w:lang w:val="bs-Latn-BA"/>
              </w:rPr>
              <w:t>Stil citiranja: čikaški stil citiranja – citiranje u fusnotama</w:t>
            </w:r>
            <w:r>
              <w:rPr>
                <w:rFonts w:eastAsia="Calibri"/>
                <w:b/>
                <w:lang w:val="bs-Latn-BA"/>
              </w:rPr>
              <w:t>:</w:t>
            </w:r>
            <w:r w:rsidR="008D177C">
              <w:t xml:space="preserve"> </w:t>
            </w:r>
            <w:r w:rsidR="008D177C" w:rsidRPr="008D177C">
              <w:rPr>
                <w:rFonts w:eastAsia="Calibri"/>
                <w:lang w:val="bs-Latn-BA"/>
              </w:rPr>
              <w:t>Predmetni stil se primjenjuje na način da se dio teksta u radu u pogledu kojeg je korišten određeni izvor označi brojem, te se potom, na dnu stranice, zavisno o izvoru koji se citira, navode podaci o tom izvoru:</w:t>
            </w:r>
          </w:p>
          <w:p w14:paraId="218094C5" w14:textId="77777777" w:rsidR="008D177C" w:rsidRPr="008D177C" w:rsidRDefault="008D177C" w:rsidP="002D354B">
            <w:pPr>
              <w:spacing w:line="276" w:lineRule="auto"/>
              <w:jc w:val="both"/>
              <w:rPr>
                <w:rFonts w:eastAsia="Calibri"/>
                <w:lang w:val="bs-Latn-BA"/>
              </w:rPr>
            </w:pPr>
          </w:p>
          <w:p w14:paraId="10AFF032" w14:textId="77777777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Knjiga: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Ime Prezime, </w:t>
            </w:r>
            <w:r w:rsidRPr="00281D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Naslov knjige: podnaslov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(Grad: Izdavač, godina izdanja), stranica/e;</w:t>
            </w:r>
          </w:p>
          <w:p w14:paraId="066862F1" w14:textId="4CEC65AA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Članak iz zbornika radova: 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Prezime, „Naslov teksta“, u: </w:t>
            </w:r>
            <w:r w:rsidRPr="00281D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Naslov zbornika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>, ur. Ime Prezime urednika/ce (Grad: Izdavač, godina izdanja), stranica/</w:t>
            </w:r>
            <w:r w:rsidR="002D354B">
              <w:rPr>
                <w:rFonts w:ascii="Times New Roman" w:eastAsia="Calibri" w:hAnsi="Times New Roman" w:cs="Times New Roman"/>
                <w:sz w:val="24"/>
                <w:szCs w:val="24"/>
              </w:rPr>
              <w:t>e;</w:t>
            </w:r>
          </w:p>
          <w:p w14:paraId="007C9BC1" w14:textId="183B321C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Članak iz </w:t>
            </w:r>
            <w:r w:rsidR="00E03E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naučnog/stručnog </w:t>
            </w: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časopisa: 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Prezime, „Naslov teksta“. </w:t>
            </w:r>
            <w:r w:rsidRPr="00281D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Naslov časopisa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>, godište, broj (datum objavljivanja): stranica/e</w:t>
            </w:r>
          </w:p>
          <w:p w14:paraId="7A91ED2E" w14:textId="77777777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Drugo i kasnije navođenje rada: 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>fusnota sadrži samo prvo slovo imena i prezime autora, naslov rada, kao i broj stranice:</w:t>
            </w:r>
          </w:p>
          <w:p w14:paraId="3FDCEDB3" w14:textId="210EC736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Uzastopno navođenja rada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>: fusnota treba da sadrži samo oznaku Ibid., te broj stranice:</w:t>
            </w:r>
          </w:p>
          <w:p w14:paraId="2ACE5B62" w14:textId="77777777" w:rsidR="00281DD7" w:rsidRPr="00281DD7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 literaturu 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elektronskom (online formatu): </w:t>
            </w:r>
            <w:r w:rsidRPr="00281DD7">
              <w:rPr>
                <w:rFonts w:ascii="Times New Roman" w:eastAsia="Calibri" w:hAnsi="Times New Roman" w:cs="Times New Roman"/>
                <w:sz w:val="24"/>
                <w:szCs w:val="24"/>
              </w:rPr>
              <w:t>pored prethodno navedenih elemenata, potrebno je naznačiti i URL adresu, kao i datum pristupa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F91B476" w14:textId="7910FF24" w:rsidR="00281DD7" w:rsidRPr="008D177C" w:rsidRDefault="00281DD7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1D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 literaturu koja nema autora/icu (novinski članci, internet tekstovi, z</w:t>
            </w:r>
            <w:r w:rsidR="008D17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akoni i drugi normativni akti): </w:t>
            </w:r>
            <w:r w:rsidRPr="008D177C">
              <w:rPr>
                <w:rFonts w:ascii="Times New Roman" w:eastAsia="Calibri" w:hAnsi="Times New Roman" w:cs="Times New Roman"/>
                <w:sz w:val="24"/>
                <w:szCs w:val="24"/>
              </w:rPr>
              <w:t>naznačiti naslov i navesti dostupne relevantne podatke (izdavač, mjesto, godina, stranica</w:t>
            </w:r>
            <w:r w:rsidR="008D177C">
              <w:rPr>
                <w:rFonts w:ascii="Times New Roman" w:eastAsia="Calibri" w:hAnsi="Times New Roman" w:cs="Times New Roman"/>
                <w:sz w:val="24"/>
                <w:szCs w:val="24"/>
              </w:rPr>
              <w:t>, član</w:t>
            </w:r>
            <w:r w:rsidRPr="008D1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sl</w:t>
            </w:r>
            <w:r w:rsidR="008D177C" w:rsidRPr="008D177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177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D177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DC65F6C" w14:textId="1C18F121" w:rsidR="008D177C" w:rsidRDefault="008D177C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Posebno za sve normativno – pravne akte: </w:t>
            </w:r>
            <w:r w:rsidRPr="008D177C">
              <w:rPr>
                <w:rFonts w:ascii="Times New Roman" w:eastAsia="Calibri" w:hAnsi="Times New Roman" w:cs="Times New Roman"/>
                <w:sz w:val="24"/>
                <w:szCs w:val="24"/>
              </w:rPr>
              <w:t>navesti podatke o službenom glasniku i broju istog;</w:t>
            </w:r>
          </w:p>
          <w:p w14:paraId="24C078BA" w14:textId="2F244156" w:rsidR="008D177C" w:rsidRPr="00281DD7" w:rsidRDefault="008D177C" w:rsidP="002D354B">
            <w:pPr>
              <w:pStyle w:val="Listenabsatz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Presude: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navesti donosioca presude, broj i datum presude;</w:t>
            </w:r>
          </w:p>
        </w:tc>
      </w:tr>
      <w:tr w:rsidR="008D177C" w14:paraId="6600B4E5" w14:textId="77777777" w:rsidTr="002D354B">
        <w:trPr>
          <w:trHeight w:val="312"/>
        </w:trPr>
        <w:tc>
          <w:tcPr>
            <w:tcW w:w="9061" w:type="dxa"/>
            <w:shd w:val="clear" w:color="auto" w:fill="00B0F0"/>
          </w:tcPr>
          <w:p w14:paraId="70F79AF6" w14:textId="640E333A" w:rsidR="008D177C" w:rsidRPr="00281DD7" w:rsidRDefault="008D177C" w:rsidP="002D354B">
            <w:pPr>
              <w:spacing w:line="276" w:lineRule="auto"/>
              <w:jc w:val="center"/>
              <w:rPr>
                <w:rFonts w:eastAsia="Calibri"/>
                <w:b/>
                <w:lang w:val="bs-Latn-BA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val="bs-Latn-BA"/>
              </w:rPr>
              <w:lastRenderedPageBreak/>
              <w:t>Citiranje (prilikom popisa literature na kraju rada)</w:t>
            </w:r>
          </w:p>
        </w:tc>
      </w:tr>
      <w:tr w:rsidR="008D177C" w14:paraId="120A10B4" w14:textId="77777777" w:rsidTr="008D177C">
        <w:trPr>
          <w:trHeight w:val="420"/>
        </w:trPr>
        <w:tc>
          <w:tcPr>
            <w:tcW w:w="9061" w:type="dxa"/>
            <w:shd w:val="clear" w:color="auto" w:fill="auto"/>
          </w:tcPr>
          <w:p w14:paraId="5A7AF1EB" w14:textId="4304A3D4" w:rsidR="00E03EB3" w:rsidRPr="00E03EB3" w:rsidRDefault="008D177C" w:rsidP="002D354B">
            <w:pPr>
              <w:pStyle w:val="Listenabsatz"/>
              <w:numPr>
                <w:ilvl w:val="0"/>
                <w:numId w:val="8"/>
              </w:num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7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Knjiga:</w:t>
            </w:r>
            <w:r w:rsidRPr="008D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Prezime,</w:t>
            </w:r>
            <w:r w:rsid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Prvo slovo imena autora. (godina izdanja). </w:t>
            </w:r>
            <w:r w:rsidR="00E03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Naslov knjige. </w:t>
            </w:r>
            <w:r w:rsid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Mjesto izdavanja: izdavač; Npr. </w:t>
            </w:r>
            <w:r w:rsidR="00E03EB3" w:rsidRPr="00E0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Tomić, Z. (1983). </w:t>
            </w:r>
            <w:r w:rsidR="00E03EB3" w:rsidRPr="00E03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Krivično pravo II: Posebni dio.</w:t>
            </w:r>
            <w:r w:rsidR="00E03EB3" w:rsidRPr="00E03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Sarajevo: Pravni fakultet Univerziteta u Sarajevu</w:t>
            </w:r>
            <w:r w:rsidR="00E03EB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40DC60C" w14:textId="77777777" w:rsidR="00E03EB3" w:rsidRPr="00E03EB3" w:rsidRDefault="00E03EB3" w:rsidP="002D354B">
            <w:pPr>
              <w:pStyle w:val="Listenabsatz"/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9A67F5" w14:textId="4B083F7F" w:rsidR="00E03EB3" w:rsidRDefault="00281DD7" w:rsidP="002D354B">
            <w:pPr>
              <w:pStyle w:val="Listenabsatz"/>
              <w:numPr>
                <w:ilvl w:val="0"/>
                <w:numId w:val="8"/>
              </w:num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Članak iz zbornika radova:</w:t>
            </w:r>
            <w:r w:rsidR="00E03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Prezime, Prvo slovo imena autora. (godina izdanja). Naslov članka. Urednici, </w:t>
            </w:r>
            <w:r w:rsidR="00E03EB3" w:rsidRPr="00E03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Naslov zbornika radova</w:t>
            </w:r>
            <w:r w:rsidR="00E03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(stranice na kojima je objavljen tekst u zborniku). Mjesto: Izdavač; Npr. </w:t>
            </w:r>
            <w:r w:rsidR="00E03EB3"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Ćeman, M. (2015). Ustavni sud – između pozitivnog i negativnog zakonodavca,</w:t>
            </w:r>
            <w:r w:rsidR="002D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ur.</w:t>
            </w:r>
            <w:r w:rsidR="00E03EB3"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Mato Tadić, </w:t>
            </w:r>
            <w:r w:rsidR="00E03EB3" w:rsidRPr="00B21A3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Međunarodna konferencija Ustavni sud između negativnog zakonodavca i pozitivnog aktivizma</w:t>
            </w:r>
            <w:r w:rsidR="00E03EB3"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(str. 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155. – 166.</w:t>
            </w:r>
            <w:r w:rsidR="00E03EB3"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Sarajevo: Ustavni sud Bosne i Hercegovine, 2015).</w:t>
            </w:r>
          </w:p>
          <w:p w14:paraId="4CEFDDE5" w14:textId="4959404C" w:rsidR="00E03EB3" w:rsidRDefault="00E03EB3" w:rsidP="002D354B">
            <w:pPr>
              <w:pStyle w:val="Listenabsatz"/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4C091B" w14:textId="6AB7EADD" w:rsidR="00E03EB3" w:rsidRDefault="00E03EB3" w:rsidP="002D354B">
            <w:pPr>
              <w:pStyle w:val="Listenabsatz"/>
              <w:numPr>
                <w:ilvl w:val="0"/>
                <w:numId w:val="8"/>
              </w:num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Članak iz naučnog/stručnog časopisa: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Prezime, Prvo slovo imena autora. (godina </w:t>
            </w:r>
            <w:r w:rsidR="002D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izdanja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  <w:r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Naslov članka.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EB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Naziv časopisa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(broj i izdanje časopisa), stranice na kojima je objavljen članak u časopisu; Npr. 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Idrizović, S</w:t>
            </w:r>
            <w:r w:rsidR="002D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2D3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Privilegirani svjedoci u praksi Vrhovnog suda Federacije Bosne i Hercegovine</w:t>
            </w:r>
            <w:r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D35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Pravo i pravda</w:t>
            </w:r>
            <w:r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</w:t>
            </w:r>
            <w:r w:rsidRPr="00E03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(1), </w:t>
            </w:r>
            <w:r w:rsidR="00B21A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str. 77. – 86. </w:t>
            </w:r>
          </w:p>
          <w:p w14:paraId="20650373" w14:textId="77777777" w:rsidR="00E03EB3" w:rsidRPr="00E03EB3" w:rsidRDefault="00E03EB3" w:rsidP="002D354B">
            <w:pPr>
              <w:pStyle w:val="Listenabsatz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9AF991" w14:textId="458662EC" w:rsidR="00E03EB3" w:rsidRDefault="00E03EB3" w:rsidP="002D354B">
            <w:pPr>
              <w:pStyle w:val="Listenabsatz"/>
              <w:numPr>
                <w:ilvl w:val="0"/>
                <w:numId w:val="8"/>
              </w:num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E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Normativno – pravni akti: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naziv normativno – pravnog akta, podaci o službenom glasniku i broju istog</w:t>
            </w:r>
            <w:r w:rsidR="00871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Npr. </w:t>
            </w:r>
            <w:r w:rsidR="00871088" w:rsidRPr="008710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Zakon o ravnopravnosti spolova u Bosni i Hercegovini – prečišćeni tekst. Službeni glasnik BiH, 32/10.</w:t>
            </w:r>
          </w:p>
          <w:p w14:paraId="0DF2EE7C" w14:textId="77777777" w:rsidR="00871088" w:rsidRPr="00871088" w:rsidRDefault="00871088" w:rsidP="002D354B">
            <w:pPr>
              <w:pStyle w:val="Listenabsatz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B0D5E1" w14:textId="79D63D0D" w:rsidR="008D177C" w:rsidRPr="00871088" w:rsidRDefault="00871088" w:rsidP="002D354B">
            <w:pPr>
              <w:pStyle w:val="Listenabsatz"/>
              <w:numPr>
                <w:ilvl w:val="0"/>
                <w:numId w:val="8"/>
              </w:numPr>
              <w:tabs>
                <w:tab w:val="left" w:pos="369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Presude: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navesti donosioca presude, broj i datum presude.</w:t>
            </w:r>
          </w:p>
        </w:tc>
      </w:tr>
    </w:tbl>
    <w:p w14:paraId="10C362F9" w14:textId="32B8A61A" w:rsidR="00396F5B" w:rsidRDefault="00396F5B" w:rsidP="002D354B">
      <w:pPr>
        <w:spacing w:line="276" w:lineRule="auto"/>
        <w:jc w:val="both"/>
        <w:rPr>
          <w:rFonts w:eastAsia="Calibri"/>
          <w:szCs w:val="22"/>
          <w:lang w:val="bs-Latn-BA"/>
        </w:rPr>
      </w:pPr>
    </w:p>
    <w:p w14:paraId="70C8FD66" w14:textId="69AE169B" w:rsidR="00396F5B" w:rsidRDefault="00396F5B" w:rsidP="002D354B">
      <w:pPr>
        <w:spacing w:line="276" w:lineRule="auto"/>
        <w:jc w:val="both"/>
        <w:rPr>
          <w:rFonts w:eastAsia="Calibri"/>
          <w:szCs w:val="22"/>
          <w:lang w:val="bs-Latn-BA"/>
        </w:rPr>
      </w:pPr>
    </w:p>
    <w:p w14:paraId="56A62F85" w14:textId="4079DAC8" w:rsidR="00396F5B" w:rsidRDefault="00396F5B" w:rsidP="002D354B">
      <w:pPr>
        <w:spacing w:line="276" w:lineRule="auto"/>
        <w:jc w:val="both"/>
        <w:rPr>
          <w:rFonts w:eastAsia="Calibri"/>
          <w:szCs w:val="22"/>
          <w:lang w:val="bs-Latn-BA"/>
        </w:rPr>
      </w:pPr>
    </w:p>
    <w:p w14:paraId="1DCAFFDA" w14:textId="77777777" w:rsidR="00396F5B" w:rsidRPr="00BC2B30" w:rsidRDefault="00396F5B" w:rsidP="002D354B">
      <w:pPr>
        <w:spacing w:line="276" w:lineRule="auto"/>
        <w:jc w:val="both"/>
        <w:rPr>
          <w:rFonts w:eastAsia="Calibri"/>
          <w:szCs w:val="22"/>
          <w:lang w:val="bs-Latn-BA"/>
        </w:rPr>
      </w:pPr>
    </w:p>
    <w:p w14:paraId="1C658B22" w14:textId="77777777" w:rsidR="00BC2B30" w:rsidRPr="00BC2B30" w:rsidRDefault="00BC2B30" w:rsidP="002D354B">
      <w:pPr>
        <w:spacing w:line="276" w:lineRule="auto"/>
        <w:jc w:val="both"/>
        <w:rPr>
          <w:rFonts w:eastAsia="Calibri"/>
          <w:szCs w:val="22"/>
          <w:lang w:val="bs-Latn-BA"/>
        </w:rPr>
      </w:pPr>
    </w:p>
    <w:p w14:paraId="01A7729C" w14:textId="768A648B" w:rsidR="00BC2B30" w:rsidRPr="00871088" w:rsidRDefault="00BC2B30" w:rsidP="002D354B">
      <w:pPr>
        <w:spacing w:line="276" w:lineRule="auto"/>
        <w:contextualSpacing/>
        <w:jc w:val="both"/>
        <w:rPr>
          <w:rFonts w:eastAsia="Calibri"/>
          <w:szCs w:val="22"/>
          <w:lang w:val="bs-Latn-BA"/>
        </w:rPr>
      </w:pPr>
    </w:p>
    <w:sectPr w:rsidR="00BC2B30" w:rsidRPr="00871088" w:rsidSect="009423DC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71D"/>
    <w:multiLevelType w:val="hybridMultilevel"/>
    <w:tmpl w:val="90E4F144"/>
    <w:lvl w:ilvl="0" w:tplc="C4E2CC3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617D6"/>
    <w:multiLevelType w:val="hybridMultilevel"/>
    <w:tmpl w:val="3DD4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130"/>
    <w:multiLevelType w:val="hybridMultilevel"/>
    <w:tmpl w:val="0B3ECDC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41F35"/>
    <w:multiLevelType w:val="hybridMultilevel"/>
    <w:tmpl w:val="F7B6B6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709FE"/>
    <w:multiLevelType w:val="hybridMultilevel"/>
    <w:tmpl w:val="141A930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63A3B"/>
    <w:multiLevelType w:val="hybridMultilevel"/>
    <w:tmpl w:val="1624C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36068"/>
    <w:multiLevelType w:val="hybridMultilevel"/>
    <w:tmpl w:val="ADC4E7D2"/>
    <w:lvl w:ilvl="0" w:tplc="9B1612B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76AD6"/>
    <w:multiLevelType w:val="hybridMultilevel"/>
    <w:tmpl w:val="B56212EE"/>
    <w:lvl w:ilvl="0" w:tplc="B032ED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9090">
    <w:abstractNumId w:val="4"/>
  </w:num>
  <w:num w:numId="2" w16cid:durableId="1238981990">
    <w:abstractNumId w:val="2"/>
  </w:num>
  <w:num w:numId="3" w16cid:durableId="2045403679">
    <w:abstractNumId w:val="1"/>
  </w:num>
  <w:num w:numId="4" w16cid:durableId="15260159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4456324">
    <w:abstractNumId w:val="3"/>
  </w:num>
  <w:num w:numId="6" w16cid:durableId="1030881414">
    <w:abstractNumId w:val="0"/>
  </w:num>
  <w:num w:numId="7" w16cid:durableId="972561235">
    <w:abstractNumId w:val="7"/>
  </w:num>
  <w:num w:numId="8" w16cid:durableId="8878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2E"/>
    <w:rsid w:val="00030225"/>
    <w:rsid w:val="00037641"/>
    <w:rsid w:val="00042AB9"/>
    <w:rsid w:val="00057870"/>
    <w:rsid w:val="000A2BD4"/>
    <w:rsid w:val="000E21C2"/>
    <w:rsid w:val="000F1D39"/>
    <w:rsid w:val="00100844"/>
    <w:rsid w:val="00134AFF"/>
    <w:rsid w:val="00150993"/>
    <w:rsid w:val="001546CF"/>
    <w:rsid w:val="00154D23"/>
    <w:rsid w:val="00180FF6"/>
    <w:rsid w:val="001A7657"/>
    <w:rsid w:val="001C7241"/>
    <w:rsid w:val="001D044B"/>
    <w:rsid w:val="0023528E"/>
    <w:rsid w:val="00257E5D"/>
    <w:rsid w:val="00280A75"/>
    <w:rsid w:val="00281DD7"/>
    <w:rsid w:val="002850A2"/>
    <w:rsid w:val="00292D6E"/>
    <w:rsid w:val="002945C4"/>
    <w:rsid w:val="002B3F1B"/>
    <w:rsid w:val="002D354B"/>
    <w:rsid w:val="002E637F"/>
    <w:rsid w:val="0030537D"/>
    <w:rsid w:val="00317FB4"/>
    <w:rsid w:val="00336AF3"/>
    <w:rsid w:val="0035243F"/>
    <w:rsid w:val="00396F5B"/>
    <w:rsid w:val="003C4D05"/>
    <w:rsid w:val="003C69D1"/>
    <w:rsid w:val="0041221C"/>
    <w:rsid w:val="00460CEC"/>
    <w:rsid w:val="00494333"/>
    <w:rsid w:val="004F47D8"/>
    <w:rsid w:val="00591F32"/>
    <w:rsid w:val="005B6F68"/>
    <w:rsid w:val="005D254C"/>
    <w:rsid w:val="005E7E6C"/>
    <w:rsid w:val="00606BA6"/>
    <w:rsid w:val="00622578"/>
    <w:rsid w:val="0062368C"/>
    <w:rsid w:val="0063638D"/>
    <w:rsid w:val="00672800"/>
    <w:rsid w:val="00697DB4"/>
    <w:rsid w:val="006A3629"/>
    <w:rsid w:val="006B38A1"/>
    <w:rsid w:val="006E7F8D"/>
    <w:rsid w:val="006F4D3A"/>
    <w:rsid w:val="007B1BFB"/>
    <w:rsid w:val="007C1BBD"/>
    <w:rsid w:val="007E3A41"/>
    <w:rsid w:val="007E5771"/>
    <w:rsid w:val="0083207F"/>
    <w:rsid w:val="00840BED"/>
    <w:rsid w:val="00871088"/>
    <w:rsid w:val="008813EE"/>
    <w:rsid w:val="008844F5"/>
    <w:rsid w:val="00886B16"/>
    <w:rsid w:val="00894BAD"/>
    <w:rsid w:val="008A22B7"/>
    <w:rsid w:val="008D177C"/>
    <w:rsid w:val="009423DC"/>
    <w:rsid w:val="009C6ECD"/>
    <w:rsid w:val="00A42FF8"/>
    <w:rsid w:val="00A61F29"/>
    <w:rsid w:val="00A94C7D"/>
    <w:rsid w:val="00AA3EA1"/>
    <w:rsid w:val="00AF692E"/>
    <w:rsid w:val="00B02B95"/>
    <w:rsid w:val="00B21A3D"/>
    <w:rsid w:val="00B314F8"/>
    <w:rsid w:val="00B46032"/>
    <w:rsid w:val="00B53EA3"/>
    <w:rsid w:val="00B67381"/>
    <w:rsid w:val="00B816A3"/>
    <w:rsid w:val="00BC2B30"/>
    <w:rsid w:val="00BC5E3B"/>
    <w:rsid w:val="00BF522F"/>
    <w:rsid w:val="00C22DE7"/>
    <w:rsid w:val="00C54F8A"/>
    <w:rsid w:val="00C93024"/>
    <w:rsid w:val="00CB0540"/>
    <w:rsid w:val="00CB144F"/>
    <w:rsid w:val="00CC262A"/>
    <w:rsid w:val="00CC66E8"/>
    <w:rsid w:val="00CD6199"/>
    <w:rsid w:val="00D20FBC"/>
    <w:rsid w:val="00D27D17"/>
    <w:rsid w:val="00D36638"/>
    <w:rsid w:val="00D73CB3"/>
    <w:rsid w:val="00DD54C0"/>
    <w:rsid w:val="00E03EB3"/>
    <w:rsid w:val="00E12A2C"/>
    <w:rsid w:val="00E15124"/>
    <w:rsid w:val="00E24797"/>
    <w:rsid w:val="00E34460"/>
    <w:rsid w:val="00E51F93"/>
    <w:rsid w:val="00E52ABE"/>
    <w:rsid w:val="00E90115"/>
    <w:rsid w:val="00EA02F6"/>
    <w:rsid w:val="00ED6422"/>
    <w:rsid w:val="00EF7E47"/>
    <w:rsid w:val="00F6692E"/>
    <w:rsid w:val="00F82451"/>
    <w:rsid w:val="00F972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272E7"/>
  <w15:chartTrackingRefBased/>
  <w15:docId w15:val="{FB33F0A4-230E-4C0E-9F24-B2126754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F6692E"/>
    <w:rPr>
      <w:rFonts w:ascii="Calibri" w:hAnsi="Calibri"/>
      <w:sz w:val="22"/>
      <w:szCs w:val="22"/>
      <w:lang w:val="en-US" w:eastAsia="en-US"/>
    </w:rPr>
  </w:style>
  <w:style w:type="paragraph" w:styleId="Sprechblasentext">
    <w:name w:val="Balloon Text"/>
    <w:basedOn w:val="Standard"/>
    <w:link w:val="SprechblasentextZchn"/>
    <w:rsid w:val="000F1D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F1D39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05787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table" w:styleId="Tabellenraster">
    <w:name w:val="Table Grid"/>
    <w:basedOn w:val="NormaleTabelle"/>
    <w:rsid w:val="00396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E4C8-DA53-4341-B8B3-FD8B6989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BiH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Pravosudje</dc:creator>
  <cp:keywords/>
  <dc:description/>
  <cp:lastModifiedBy>Miloš Davidović</cp:lastModifiedBy>
  <cp:revision>6</cp:revision>
  <cp:lastPrinted>2021-06-16T06:22:00Z</cp:lastPrinted>
  <dcterms:created xsi:type="dcterms:W3CDTF">2023-05-03T08:03:00Z</dcterms:created>
  <dcterms:modified xsi:type="dcterms:W3CDTF">2024-05-08T11:55:00Z</dcterms:modified>
</cp:coreProperties>
</file>